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III 62</w:t>
      </w:r>
    </w:p>
    <w:p>
      <w:r>
        <w:t>Bundesgericht (BGE), 1970-08-31, DE</w:t>
      </w:r>
    </w:p>
    <w:p>
      <w:r>
        <w:rPr>
          <w:b/>
        </w:rPr>
        <w:t xml:space="preserve">Quelle: </w:t>
      </w:r>
      <w:r>
        <w:t>https://mcp.opencaselaw.ch/entscheid/bge_96 III 62</w:t>
      </w:r>
    </w:p>
    <w:p>
      <w:r>
        <w:t>FR: ATF 96 III 62</w:t>
      </w:r>
    </w:p>
    <w:p>
      <w:r>
        <w:t>IT: DTF 96 III 62</w:t>
      </w:r>
    </w:p>
    <w:p>
      <w:pPr>
        <w:pStyle w:val="Heading2"/>
      </w:pPr>
      <w:r>
        <w:t>Regeste</w:t>
      </w:r>
    </w:p>
    <w:p>
      <w:r>
        <w:t>Regeste Zustellung von Betreibungsurkunden im Ausland (Israel) auf diplomatischem Wege (Art. 2 und 5 der Haager Übereinkunft betr. Zivilprozessrecht vom 1. März 1954). Wer zur Entgegennahme einer für eine juristische Person im Ausland bestimmten Urkunde befugt ist, bestimmt sich nach dem Rechte des um die Zustellung ersuchten ausländischen Staates, dessen Anwendung das Bundesgericht im Rekursverfahren nach Art. 19 SchKG nicht zu überprüfen hat. Unvereinbarkeit des massgebenden ausländischen Rechts mit der schweizerischen Rechtsauffassung? Beweis der Zustellung.</w:t>
      </w:r>
    </w:p>
    <w:p>
      <w:pPr>
        <w:pStyle w:val="Heading2"/>
      </w:pPr>
      <w:r>
        <w:t>Erwägungen</w:t>
      </w:r>
    </w:p>
    <w:p>
      <w:r>
        <w:rPr>
          <w:b/>
        </w:rPr>
        <w:t>E. 1</w:t>
      </w:r>
    </w:p>
    <w:p>
      <w:r>
        <w:t>Die Haager Übereinkunft betreffend Zivilprozessrecht vom 1. März 1954, der die Schweiz und Israel beigetreten sind (AS 1968 S. 1722), regelt in Art. 1-7 die Mitteilung gerichtlicher und aussergerichtlicher Urkunden in Zivil- und Handelssachen. Hierunter fällt nach ständiger Praxis auch die Zustellung von Betreibungsurkunden; dies jedenfalls dann, wenn die Betreibung wie hier eine privatrechtliche Forderung betrifft ( BGE 94 III 37 E. 2 mit Hinweisen). Nach Art. 2 der Übereinkunft erfolgt die Zustellung durch die nach den Gesetzen des ersuchten Staates zuständige Behörde. Diese kann sich nach dem zweiten Satze von Art. 2 (unter Vorbehalt der in Art. 3 vorgesehenen, hier nicht in Betracht kommenden Fälle) damit begnügen, die Zustellung durch Übergabe der Urkunde an den sie freiwillig entgegennehmenden Empfänger zu vollziehen. Der Beweis der Zustellung erfolgt nach Art. 5 Abs. 1 der Übereinkunft entweder mittels eines datierten und beglaubigten Empfangsscheins des Empfängers oder mittels einer Bescheinigung der Behörde des ersuchten Staates, welche die Tatsache, die Form und das Datum der Zustellung feststellt. Welche natürlichen Personen zur Entgegennahme einer für eine juristische Person bestimmten Urkunde befugt sind, sagt die Übereinkunft nicht. Diese Frage beurteilt sich wie die Frage, welche Behörde des ersuchten Staates für die Zustellung zuständig sei, nach dem Rechte des ersuchten Staates, hier also nach israelischem Recht, dessen Anwendung durch die Vorinstanz das Bundesgericht im vorliegenden Rekursverfahren nicht zu überprüfen hat (Art. 81 in Verbindung mit Art. 43 Abs. 1 OG ; vgl. auch Art. 79 Abs. 1 OG ). Wenn Art. 19 Abs. 1 SchKG die Weiterziehung "gesetzwidriger" Entscheide einer kantonalen Aufsichtsbehörde an das Bundesgericht gestattet, so sind damit, wie schon vor Erlass der Art. 75-82 des OG vom 16. Dezember 1943 erkannt worden war ( BGE 53 III 57 E. 1 a.E.), nur Entscheide gemeint, die gegen schweizerisches Bundesrecht (mit Einschluss der Staatsverträge des Bundes) verstossen.</w:t>
      </w:r>
    </w:p>
    <w:p>
      <w:r>
        <w:rPr>
          <w:b/>
        </w:rPr>
        <w:t>E. 2</w:t>
      </w:r>
    </w:p>
    <w:p>
      <w:r>
        <w:t>Die Vorinstanz nimmt in ihren Erwägungen auf das israelische Recht nicht ausdrücklich Bezug. Aus der Tatsache, dass sie die Zustellung durch die bei solchen Amtshandlungen zweifellos ihr eigenes Recht anwendenden israelischen Behörden BGE 96 III 62 S. 66 auf Grund der Bescheinigungen dieser Behörden als rechtsgültig betrachtete, ist jedoch zu schliessen, dass sie davon ausgeht, die Sekretärin, welche die streitigen Betreibungsurkunden entgegennahm, sei nach israelischem Recht hiezu befugt gewesen. Diese Annahme ist nach Erwägung 1 hievor der Überprüfung durch das Bundesgericht entzogen. Es kann dahingestellt bleiben, ob die im Ausland erfolgte Zustellung einer Betreibungsurkunde an eine nach dortigem Recht zu ihrer Entgegennahme befugte Person in der Schweiz trotz dem Fehlen eines entsprechenden Vorbehalts in der Übereinkunft vom 1. März 1954 allenfalls dann nicht als gültig anzuerkennen wäre, wenn das ausländische Recht in dieser Hinsicht mit der schweizerischen Rechtsauffassung schlechthin unverträglich wäre. Hievon könnte nämlich im vorliegenden Falle angesichts der von der Vorinstanz verbindlich festgestellten Tatsache, dass die Beged Or (1968) Ltd. mit der Schuldnerin eng verbunden war, deren Geschäftsbetrieb unter fast gleicher Firma fortsetzte und Sendungen für die am Ort ihrer angeblichen Geschäftsstelle nicht anzutreffende Schuldnerin entgegenzunehmen pflegte, nicht die Rede sein (vgl. BGE 96 III 5 E. 1, wo das Bundesgericht in Anwendung von Art. 65 SchKG die Zustellung an eine Angestellte einer im gleichen Lokal wie die betriebene AG tätigen Gesellschaft als gültig bezeichnete). Der Beweis der Zustellung ist durch die vorliegenden Bescheinigungen der israelischen Behörden in einer dem Art. 5 der Übereinkunft genügenden Weise geleistet.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